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/>
        <w:spacing w:after="60" w:before="200" w:line="264"/>
      </w:pPr>
      <w:r>
        <w:rPr>
          <w:rFonts w:ascii="Montserrat" w:cs="Montserrat" w:eastAsia="Montserrat" w:hAnsi="Montserrat"/>
          <w:b/>
          <w:bCs/>
          <w:i w:val="false"/>
          <w:iCs w:val="false"/>
          <w:caps/>
          <w:color w:val="009245"/>
          <w:spacing w:val="30"/>
          <w:sz w:val="16"/>
          <w:szCs w:val="16"/>
        </w:rPr>
        <w:t xml:space="preserve">Missouri Green Banc  ·  MGB Academy</w:t>
      </w:r>
    </w:p>
    <w:p>
      <w:pPr>
        <w:keepNext w:val="false"/>
        <w:keepLines w:val="false"/>
        <w:spacing w:after="60" w:before="0" w:line="300"/>
      </w:pPr>
      <w:r>
        <w:rPr>
          <w:rFonts w:ascii="Montserrat" w:cs="Montserrat" w:eastAsia="Montserrat" w:hAnsi="Montserrat"/>
          <w:b/>
          <w:bCs/>
          <w:i w:val="false"/>
          <w:iCs w:val="false"/>
          <w:caps w:val="false"/>
          <w:color w:val="484848"/>
          <w:sz w:val="44"/>
          <w:szCs w:val="44"/>
        </w:rPr>
        <w:t xml:space="preserve">Retroactive Funding Screen</w:t>
      </w:r>
    </w:p>
    <w:p>
      <w:pPr>
        <w:keepNext w:val="false"/>
        <w:keepLines w:val="false"/>
        <w:spacing w:after="240" w:before="0" w:line="264"/>
      </w:pPr>
      <w:r>
        <w:rPr>
          <w:rFonts w:ascii="Montserrat" w:cs="Montserrat" w:eastAsia="Montserrat" w:hAnsi="Montserrat"/>
          <w:b w:val="false"/>
          <w:bCs w:val="false"/>
          <w:i/>
          <w:iCs/>
          <w:caps w:val="false"/>
          <w:color w:val="484848"/>
          <w:sz w:val="21"/>
          <w:szCs w:val="21"/>
        </w:rPr>
        <w:t xml:space="preserve">Recovering equity already deployed in completed and in-progress projects</w:t>
      </w:r>
    </w:p>
    <w:p>
      <w:pPr>
        <w:pBdr>
          <w:bottom w:val="single" w:color="009245" w:sz="8" w:space="4"/>
        </w:pBdr>
        <w:spacing w:after="160" w:before="120"/>
      </w:pPr>
      <w:r>
        <w:rPr>
          <w:rFonts w:ascii="Montserrat" w:cs="Montserrat" w:eastAsia="Montserrat" w:hAnsi="Montserrat"/>
          <w:b w:val="false"/>
          <w:bCs w:val="false"/>
          <w:i w:val="false"/>
          <w:iCs w:val="false"/>
          <w:caps w:val="false"/>
          <w:color w:val="484848"/>
          <w:sz w:val="20"/>
          <w:szCs w:val="20"/>
        </w:rPr>
        <w:t xml:space="preserve"/>
      </w:r>
    </w:p>
    <w:tbl>
      <w:tblPr>
        <w:tblW w:type="dxa" w:w="9360"/>
        <w:tblBorders>
          <w:top w:val="single" w:color="D9E5D0" w:sz="2"/>
          <w:left w:val="none" w:color="auto" w:sz="0"/>
          <w:bottom w:val="single" w:color="D9E5D0" w:sz="2"/>
          <w:right w:val="none" w:color="auto" w:sz="0"/>
          <w:insideH w:val="single" w:color="D9E5D0" w:sz="2"/>
          <w:insideV w:val="none" w:color="auto" w:sz="0"/>
        </w:tblBorders>
      </w:tblPr>
      <w:tblGrid>
        <w:gridCol w:w="2400"/>
        <w:gridCol w:w="6960"/>
      </w:tblGrid>
      <w:tr>
        <w:tc>
          <w:tcPr>
            <w:tcW w:type="dxa" w:w="2400"/>
            <w:tcMar>
              <w:top w:type="dxa" w:w="90"/>
              <w:left w:type="dxa" w:w="0"/>
              <w:bottom w:type="dxa" w:w="90"/>
              <w:right w:type="dxa" w:w="130"/>
            </w:tcMar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/>
                <w:bCs/>
                <w:i w:val="false"/>
                <w:iCs w:val="false"/>
                <w:caps/>
                <w:color w:val="009245"/>
                <w:spacing w:val="20"/>
                <w:sz w:val="16"/>
                <w:szCs w:val="16"/>
              </w:rPr>
              <w:t xml:space="preserve">Document</w:t>
            </w:r>
          </w:p>
        </w:tc>
        <w:tc>
          <w:tcPr>
            <w:tcW w:type="dxa" w:w="6960"/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>MGBA-DEV-JA-05</w:t>
            </w:r>
          </w:p>
        </w:tc>
      </w:tr>
      <w:tr>
        <w:tc>
          <w:tcPr>
            <w:tcW w:type="dxa" w:w="2400"/>
            <w:tcMar>
              <w:top w:type="dxa" w:w="90"/>
              <w:left w:type="dxa" w:w="0"/>
              <w:bottom w:type="dxa" w:w="90"/>
              <w:right w:type="dxa" w:w="130"/>
            </w:tcMar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/>
                <w:bCs/>
                <w:i w:val="false"/>
                <w:iCs w:val="false"/>
                <w:caps/>
                <w:color w:val="009245"/>
                <w:spacing w:val="20"/>
                <w:sz w:val="16"/>
                <w:szCs w:val="16"/>
              </w:rPr>
              <w:t xml:space="preserve">Module</w:t>
            </w:r>
          </w:p>
        </w:tc>
        <w:tc>
          <w:tcPr>
            <w:tcW w:type="dxa" w:w="6960"/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>Segments 5, 6, and 7</w:t>
            </w:r>
          </w:p>
        </w:tc>
      </w:tr>
      <w:tr>
        <w:tc>
          <w:tcPr>
            <w:tcW w:type="dxa" w:w="2400"/>
            <w:tcMar>
              <w:top w:type="dxa" w:w="90"/>
              <w:left w:type="dxa" w:w="0"/>
              <w:bottom w:type="dxa" w:w="90"/>
              <w:right w:type="dxa" w:w="130"/>
            </w:tcMar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/>
                <w:bCs/>
                <w:i w:val="false"/>
                <w:iCs w:val="false"/>
                <w:caps/>
                <w:color w:val="009245"/>
                <w:spacing w:val="20"/>
                <w:sz w:val="16"/>
                <w:szCs w:val="16"/>
              </w:rPr>
              <w:t xml:space="preserve">Use</w:t>
            </w:r>
          </w:p>
        </w:tc>
        <w:tc>
          <w:tcPr>
            <w:tcW w:type="dxa" w:w="6960"/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>Sweeping a completed portfolio for reimbursable eligible costs</w:t>
            </w:r>
          </w:p>
        </w:tc>
      </w:tr>
      <w:tr>
        <w:tc>
          <w:tcPr>
            <w:tcW w:type="dxa" w:w="2400"/>
            <w:tcMar>
              <w:top w:type="dxa" w:w="90"/>
              <w:left w:type="dxa" w:w="0"/>
              <w:bottom w:type="dxa" w:w="90"/>
              <w:right w:type="dxa" w:w="130"/>
            </w:tcMar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/>
                <w:bCs/>
                <w:i w:val="false"/>
                <w:iCs w:val="false"/>
                <w:caps/>
                <w:color w:val="009245"/>
                <w:spacing w:val="20"/>
                <w:sz w:val="16"/>
                <w:szCs w:val="16"/>
              </w:rPr>
              <w:t xml:space="preserve">Version</w:t>
            </w:r>
          </w:p>
        </w:tc>
        <w:tc>
          <w:tcPr>
            <w:tcW w:type="dxa" w:w="6960"/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>v1.0 — Draft for Review</w:t>
            </w:r>
          </w:p>
        </w:tc>
      </w:tr>
    </w:tbl>
    <w:p>
      <w:pPr>
        <w:spacing w:after="240" w:before="0"/>
      </w:pPr>
      <w:r>
        <w:rPr>
          <w:rFonts w:ascii="Montserrat" w:cs="Montserrat" w:eastAsia="Montserrat" w:hAnsi="Montserrat"/>
          <w:b w:val="false"/>
          <w:bCs w:val="false"/>
          <w:i w:val="false"/>
          <w:iCs w:val="false"/>
          <w:caps w:val="false"/>
          <w:color w:val="484848"/>
          <w:sz w:val="20"/>
          <w:szCs w:val="20"/>
        </w:rPr>
        <w:t xml:space="preserve"/>
      </w:r>
    </w:p>
    <w:p>
      <w:pPr>
        <w:keepNext w:val="false"/>
        <w:keepLines w:val="false"/>
        <w:spacing w:after="140" w:before="0" w:line="264"/>
      </w:pPr>
      <w:r>
        <w:rPr>
          <w:rFonts w:ascii="Montserrat" w:cs="Montserrat" w:eastAsia="Montserrat" w:hAnsi="Montserrat"/>
          <w:b w:val="false"/>
          <w:bCs w:val="false"/>
          <w:i w:val="false"/>
          <w:iCs w:val="false"/>
          <w:caps w:val="false"/>
          <w:color w:val="484848"/>
          <w:sz w:val="20"/>
          <w:szCs w:val="20"/>
        </w:rPr>
        <w:t xml:space="preserve">Retroactive C-PACE reimburses eligible costs incurred within a defined lookback window before closing. For a developer who funded construction with equity and wants that equity back to redeploy, this is frequently the highest-value application of the entire mechanism — capital returned without a sale, without refinancing the senior loan, and without dilution.</w:t>
      </w:r>
    </w:p>
    <w:p>
      <w:pPr>
        <w:keepNext w:val="false"/>
        <w:keepLines w:val="false"/>
        <w:spacing w:after="140" w:before="0" w:line="264"/>
      </w:pPr>
      <w:r>
        <w:rPr>
          <w:rFonts w:ascii="Montserrat" w:cs="Montserrat" w:eastAsia="Montserrat" w:hAnsi="Montserrat"/>
          <w:b w:val="false"/>
          <w:bCs w:val="false"/>
          <w:i w:val="false"/>
          <w:iCs w:val="false"/>
          <w:caps w:val="false"/>
          <w:color w:val="484848"/>
          <w:sz w:val="20"/>
          <w:szCs w:val="20"/>
        </w:rPr>
        <w:t xml:space="preserve">It is also the application developers most systematically overlook, because the window closes on its own. Run this screen across the portfolio rather than project by project.</w:t>
      </w:r>
    </w:p>
    <w:p>
      <w:pPr>
        <w:keepNext/>
        <w:keepLines/>
        <w:pBdr>
          <w:top w:val="single" w:color="009245" w:sz="12" w:space="8"/>
        </w:pBdr>
        <w:spacing w:after="140" w:before="360" w:line="264"/>
      </w:pPr>
      <w:r>
        <w:rPr>
          <w:rFonts w:ascii="Montserrat" w:cs="Montserrat" w:eastAsia="Montserrat" w:hAnsi="Montserrat"/>
          <w:b/>
          <w:bCs/>
          <w:i w:val="false"/>
          <w:iCs w:val="false"/>
          <w:caps/>
          <w:color w:val="009245"/>
          <w:spacing w:val="20"/>
          <w:sz w:val="26"/>
          <w:szCs w:val="26"/>
        </w:rPr>
        <w:t xml:space="preserve">Portfolio Sweep</w:t>
      </w:r>
    </w:p>
    <w:p>
      <w:pPr>
        <w:keepNext w:val="false"/>
        <w:keepLines w:val="false"/>
        <w:spacing w:after="120" w:before="0" w:line="264"/>
      </w:pPr>
      <w:r>
        <w:rPr>
          <w:rFonts w:ascii="Montserrat" w:cs="Montserrat" w:eastAsia="Montserrat" w:hAnsi="Montserrat"/>
          <w:b w:val="false"/>
          <w:bCs w:val="false"/>
          <w:i w:val="false"/>
          <w:iCs w:val="false"/>
          <w:caps w:val="false"/>
          <w:color w:val="484848"/>
          <w:sz w:val="20"/>
          <w:szCs w:val="20"/>
        </w:rPr>
        <w:t xml:space="preserve">List every project completed or substantially advanced within the lookback window. Do not pre-filter on whether the project "felt like" an energy project — filter on mechanical and envelope scope.</w:t>
      </w:r>
    </w:p>
    <w:p>
      <w:pPr>
        <w:spacing w:after="120" w:before="0"/>
      </w:pPr>
      <w:r>
        <w:rPr>
          <w:rFonts w:ascii="Montserrat" w:cs="Montserrat" w:eastAsia="Montserrat" w:hAnsi="Montserrat"/>
          <w:b w:val="false"/>
          <w:bCs w:val="false"/>
          <w:i w:val="false"/>
          <w:iCs w:val="false"/>
          <w:caps w:val="false"/>
          <w:color w:val="484848"/>
          <w:sz w:val="20"/>
          <w:szCs w:val="20"/>
        </w:rPr>
        <w:t xml:space="preserve"/>
      </w:r>
    </w:p>
    <w:tbl>
      <w:tblPr>
        <w:tblW w:type="dxa" w:w="9360"/>
        <w:tblBorders>
          <w:top w:val="single" w:color="D9E5D0" w:sz="2"/>
          <w:left w:val="none" w:color="auto" w:sz="0"/>
          <w:bottom w:val="single" w:color="D9E5D0" w:sz="2"/>
          <w:right w:val="none" w:color="auto" w:sz="0"/>
          <w:insideH w:val="single" w:color="D9E5D0" w:sz="2"/>
          <w:insideV w:val="single" w:color="D9E5D0" w:sz="2"/>
        </w:tblBorders>
      </w:tblPr>
      <w:tblGrid>
        <w:gridCol w:w="2600"/>
        <w:gridCol w:w="1600"/>
        <w:gridCol w:w="2560"/>
        <w:gridCol w:w="1600"/>
        <w:gridCol w:w="1000"/>
      </w:tblGrid>
      <w:tr>
        <w:trPr>
          <w:tblHeader/>
        </w:trPr>
        <w:tc>
          <w:tcPr>
            <w:tcW w:type="dxa" w:w="2600"/>
            <w:shd w:fill="009245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/>
                <w:bCs/>
                <w:i w:val="false"/>
                <w:iCs w:val="false"/>
                <w:caps w:val="false"/>
                <w:color w:val="FFFFFF"/>
                <w:sz w:val="17"/>
                <w:szCs w:val="17"/>
              </w:rPr>
              <w:t xml:space="preserve">Project</w:t>
            </w:r>
          </w:p>
        </w:tc>
        <w:tc>
          <w:tcPr>
            <w:tcW w:type="dxa" w:w="1600"/>
            <w:shd w:fill="009245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/>
                <w:bCs/>
                <w:i w:val="false"/>
                <w:iCs w:val="false"/>
                <w:caps w:val="false"/>
                <w:color w:val="FFFFFF"/>
                <w:sz w:val="17"/>
                <w:szCs w:val="17"/>
              </w:rPr>
              <w:t xml:space="preserve">Completion date</w:t>
            </w:r>
          </w:p>
        </w:tc>
        <w:tc>
          <w:tcPr>
            <w:tcW w:type="dxa" w:w="2560"/>
            <w:shd w:fill="009245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/>
                <w:bCs/>
                <w:i w:val="false"/>
                <w:iCs w:val="false"/>
                <w:caps w:val="false"/>
                <w:color w:val="FFFFFF"/>
                <w:sz w:val="17"/>
                <w:szCs w:val="17"/>
              </w:rPr>
              <w:t xml:space="preserve">Mechanical / envelope scope</w:t>
            </w:r>
          </w:p>
        </w:tc>
        <w:tc>
          <w:tcPr>
            <w:tcW w:type="dxa" w:w="1600"/>
            <w:shd w:fill="009245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/>
                <w:bCs/>
                <w:i w:val="false"/>
                <w:iCs w:val="false"/>
                <w:caps w:val="false"/>
                <w:color w:val="FFFFFF"/>
                <w:sz w:val="17"/>
                <w:szCs w:val="17"/>
              </w:rPr>
              <w:t xml:space="preserve">Equity deployed</w:t>
            </w:r>
          </w:p>
        </w:tc>
        <w:tc>
          <w:tcPr>
            <w:tcW w:type="dxa" w:w="1000"/>
            <w:shd w:fill="009245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/>
                <w:bCs/>
                <w:i w:val="false"/>
                <w:iCs w:val="false"/>
                <w:caps w:val="false"/>
                <w:color w:val="FFFFFF"/>
                <w:sz w:val="17"/>
                <w:szCs w:val="17"/>
              </w:rPr>
              <w:t xml:space="preserve">Screen</w:t>
            </w:r>
          </w:p>
        </w:tc>
      </w:tr>
      <w:tr>
        <w:trPr>
          <w:cantSplit/>
        </w:trPr>
        <w:tc>
          <w:tcPr>
            <w:tcW w:type="dxa" w:w="2600"/>
            <w:shd w:fill="FFFFFF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shd w:fill="FFFFFF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/>
            </w:r>
          </w:p>
        </w:tc>
        <w:tc>
          <w:tcPr>
            <w:tcW w:type="dxa" w:w="2560"/>
            <w:shd w:fill="FFFFFF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shd w:fill="FFFFFF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shd w:fill="FFFFFF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>Y / N</w:t>
            </w:r>
          </w:p>
        </w:tc>
      </w:tr>
      <w:tr>
        <w:trPr>
          <w:cantSplit/>
        </w:trPr>
        <w:tc>
          <w:tcPr>
            <w:tcW w:type="dxa" w:w="2600"/>
            <w:shd w:fill="F4F9EE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shd w:fill="F4F9EE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/>
            </w:r>
          </w:p>
        </w:tc>
        <w:tc>
          <w:tcPr>
            <w:tcW w:type="dxa" w:w="2560"/>
            <w:shd w:fill="F4F9EE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shd w:fill="F4F9EE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shd w:fill="F4F9EE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>Y / N</w:t>
            </w:r>
          </w:p>
        </w:tc>
      </w:tr>
      <w:tr>
        <w:trPr>
          <w:cantSplit/>
        </w:trPr>
        <w:tc>
          <w:tcPr>
            <w:tcW w:type="dxa" w:w="2600"/>
            <w:shd w:fill="FFFFFF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shd w:fill="FFFFFF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/>
            </w:r>
          </w:p>
        </w:tc>
        <w:tc>
          <w:tcPr>
            <w:tcW w:type="dxa" w:w="2560"/>
            <w:shd w:fill="FFFFFF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shd w:fill="FFFFFF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shd w:fill="FFFFFF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>Y / N</w:t>
            </w:r>
          </w:p>
        </w:tc>
      </w:tr>
      <w:tr>
        <w:trPr>
          <w:cantSplit/>
        </w:trPr>
        <w:tc>
          <w:tcPr>
            <w:tcW w:type="dxa" w:w="2600"/>
            <w:shd w:fill="F4F9EE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shd w:fill="F4F9EE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/>
            </w:r>
          </w:p>
        </w:tc>
        <w:tc>
          <w:tcPr>
            <w:tcW w:type="dxa" w:w="2560"/>
            <w:shd w:fill="F4F9EE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shd w:fill="F4F9EE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shd w:fill="F4F9EE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>Y / N</w:t>
            </w:r>
          </w:p>
        </w:tc>
      </w:tr>
      <w:tr>
        <w:trPr>
          <w:cantSplit/>
        </w:trPr>
        <w:tc>
          <w:tcPr>
            <w:tcW w:type="dxa" w:w="2600"/>
            <w:shd w:fill="FFFFFF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shd w:fill="FFFFFF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/>
            </w:r>
          </w:p>
        </w:tc>
        <w:tc>
          <w:tcPr>
            <w:tcW w:type="dxa" w:w="2560"/>
            <w:shd w:fill="FFFFFF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shd w:fill="FFFFFF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shd w:fill="FFFFFF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>Y / N</w:t>
            </w:r>
          </w:p>
        </w:tc>
      </w:tr>
      <w:tr>
        <w:trPr>
          <w:cantSplit/>
        </w:trPr>
        <w:tc>
          <w:tcPr>
            <w:tcW w:type="dxa" w:w="2600"/>
            <w:shd w:fill="F4F9EE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shd w:fill="F4F9EE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/>
            </w:r>
          </w:p>
        </w:tc>
        <w:tc>
          <w:tcPr>
            <w:tcW w:type="dxa" w:w="2560"/>
            <w:shd w:fill="F4F9EE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shd w:fill="F4F9EE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shd w:fill="F4F9EE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>Y / N</w:t>
            </w:r>
          </w:p>
        </w:tc>
      </w:tr>
    </w:tbl>
    <w:p>
      <w:pPr>
        <w:spacing w:after="160" w:before="0"/>
      </w:pPr>
      <w:r>
        <w:rPr>
          <w:rFonts w:ascii="Montserrat" w:cs="Montserrat" w:eastAsia="Montserrat" w:hAnsi="Montserrat"/>
          <w:b w:val="false"/>
          <w:bCs w:val="false"/>
          <w:i w:val="false"/>
          <w:iCs w:val="false"/>
          <w:caps w:val="false"/>
          <w:color w:val="484848"/>
          <w:sz w:val="20"/>
          <w:szCs w:val="20"/>
        </w:rPr>
        <w:t xml:space="preserve"/>
      </w:r>
    </w:p>
    <w:tbl>
      <w:tblPr>
        <w:tblW w:type="dxa" w:w="9360"/>
        <w:tblBorders>
          <w:top w:val="none" w:color="auto" w:sz="0"/>
          <w:left w:val="single" w:color="009245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4F9EE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 w:before="0" w:line="264"/>
            </w:pPr>
            <w:r>
              <w:rPr>
                <w:rFonts w:ascii="Montserrat" w:cs="Montserrat" w:eastAsia="Montserrat" w:hAnsi="Montserrat"/>
                <w:b/>
                <w:bCs/>
                <w:i w:val="false"/>
                <w:iCs w:val="false"/>
                <w:caps/>
                <w:color w:val="009245"/>
                <w:spacing w:val="30"/>
                <w:sz w:val="16"/>
                <w:szCs w:val="16"/>
              </w:rPr>
              <w:t xml:space="preserve">Lookback period</w:t>
            </w:r>
          </w:p>
          <w:p>
            <w:pPr>
              <w:spacing w:after="100" w:before="0" w:line="264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9"/>
                <w:szCs w:val="19"/>
              </w:rPr>
              <w:t xml:space="preserve">Lookback periods vary by program and by capital provider. Confirm the applicable period with Missouri Green Banc before concluding a project is outside the window — the most common error is assuming the window has closed without asking.</w:t>
            </w:r>
          </w:p>
          <w:p>
            <w:pPr>
              <w:spacing w:after="0" w:before="0" w:line="264"/>
            </w:pPr>
            <w:r>
              <w:rPr>
                <w:rFonts w:ascii="Montserrat" w:cs="Montserrat" w:eastAsia="Montserrat" w:hAnsi="Montserrat"/>
                <w:b/>
                <w:bCs/>
                <w:i w:val="false"/>
                <w:iCs w:val="false"/>
                <w:caps w:val="false"/>
                <w:color w:val="484848"/>
                <w:sz w:val="19"/>
                <w:szCs w:val="19"/>
              </w:rPr>
              <w:t xml:space="preserve">Applicable MCED lookback period: </w:t>
            </w: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9"/>
                <w:szCs w:val="19"/>
              </w:rPr>
              <w:t xml:space="preserve">______________________  (confirm before use)</w:t>
            </w:r>
          </w:p>
        </w:tc>
      </w:tr>
    </w:tbl>
    <w:p>
      <w:pPr>
        <w:keepNext/>
        <w:keepLines/>
        <w:pBdr>
          <w:top w:val="single" w:color="009245" w:sz="12" w:space="8"/>
        </w:pBdr>
        <w:spacing w:after="140" w:before="360" w:line="264"/>
      </w:pPr>
      <w:r>
        <w:rPr>
          <w:rFonts w:ascii="Montserrat" w:cs="Montserrat" w:eastAsia="Montserrat" w:hAnsi="Montserrat"/>
          <w:b/>
          <w:bCs/>
          <w:i w:val="false"/>
          <w:iCs w:val="false"/>
          <w:caps/>
          <w:color w:val="009245"/>
          <w:spacing w:val="20"/>
          <w:sz w:val="26"/>
          <w:szCs w:val="26"/>
        </w:rPr>
        <w:t xml:space="preserve">Qualifying Screen</w:t>
      </w:r>
    </w:p>
    <w:p>
      <w:pPr>
        <w:keepNext w:val="false"/>
        <w:keepLines w:val="false"/>
        <w:spacing w:after="120" w:before="0" w:line="264"/>
      </w:pPr>
      <w:r>
        <w:rPr>
          <w:rFonts w:ascii="Montserrat" w:cs="Montserrat" w:eastAsia="Montserrat" w:hAnsi="Montserrat"/>
          <w:b w:val="false"/>
          <w:bCs w:val="false"/>
          <w:i w:val="false"/>
          <w:iCs w:val="false"/>
          <w:caps w:val="false"/>
          <w:color w:val="484848"/>
          <w:sz w:val="20"/>
          <w:szCs w:val="20"/>
        </w:rPr>
        <w:t xml:space="preserve">A project is worth a full sizing conversation if most of these are true.</w:t>
      </w:r>
    </w:p>
    <w:p>
      <w:pPr>
        <w:spacing w:after="70" w:before="0" w:line="264"/>
        <w:ind w:left="300" w:hanging="300"/>
      </w:pPr>
      <w:r>
        <w:rPr>
          <w:rFonts w:ascii="Montserrat" w:cs="Montserrat" w:eastAsia="Montserrat" w:hAnsi="Montserrat"/>
          <w:b w:val="false"/>
          <w:bCs w:val="false"/>
          <w:i w:val="false"/>
          <w:iCs w:val="false"/>
          <w:caps w:val="false"/>
          <w:color w:val="009245"/>
          <w:sz w:val="20"/>
          <w:szCs w:val="20"/>
        </w:rPr>
        <w:t xml:space="preserve">❑   </w:t>
      </w:r>
      <w:r>
        <w:rPr>
          <w:rFonts w:ascii="Montserrat" w:cs="Montserrat" w:eastAsia="Montserrat" w:hAnsi="Montserrat"/>
          <w:b w:val="false"/>
          <w:bCs w:val="false"/>
          <w:i w:val="false"/>
          <w:iCs w:val="false"/>
          <w:caps w:val="false"/>
          <w:color w:val="484848"/>
          <w:sz w:val="20"/>
          <w:szCs w:val="20"/>
        </w:rPr>
        <w:t xml:space="preserve">Project completed, or costs incurred, within the applicable lookback window</w:t>
      </w:r>
    </w:p>
    <w:p>
      <w:pPr>
        <w:spacing w:after="70" w:before="0" w:line="264"/>
        <w:ind w:left="300" w:hanging="300"/>
      </w:pPr>
      <w:r>
        <w:rPr>
          <w:rFonts w:ascii="Montserrat" w:cs="Montserrat" w:eastAsia="Montserrat" w:hAnsi="Montserrat"/>
          <w:b w:val="false"/>
          <w:bCs w:val="false"/>
          <w:i w:val="false"/>
          <w:iCs w:val="false"/>
          <w:caps w:val="false"/>
          <w:color w:val="009245"/>
          <w:sz w:val="20"/>
          <w:szCs w:val="20"/>
        </w:rPr>
        <w:t xml:space="preserve">❑   </w:t>
      </w:r>
      <w:r>
        <w:rPr>
          <w:rFonts w:ascii="Montserrat" w:cs="Montserrat" w:eastAsia="Montserrat" w:hAnsi="Montserrat"/>
          <w:b w:val="false"/>
          <w:bCs w:val="false"/>
          <w:i w:val="false"/>
          <w:iCs w:val="false"/>
          <w:caps w:val="false"/>
          <w:color w:val="484848"/>
          <w:sz w:val="20"/>
          <w:szCs w:val="20"/>
        </w:rPr>
        <w:t xml:space="preserve">Meaningful mechanical, envelope, electrical, water, or resiliency scope in the completed work</w:t>
      </w:r>
    </w:p>
    <w:p>
      <w:pPr>
        <w:spacing w:after="70" w:before="0" w:line="264"/>
        <w:ind w:left="300" w:hanging="300"/>
      </w:pPr>
      <w:r>
        <w:rPr>
          <w:rFonts w:ascii="Montserrat" w:cs="Montserrat" w:eastAsia="Montserrat" w:hAnsi="Montserrat"/>
          <w:b w:val="false"/>
          <w:bCs w:val="false"/>
          <w:i w:val="false"/>
          <w:iCs w:val="false"/>
          <w:caps w:val="false"/>
          <w:color w:val="009245"/>
          <w:sz w:val="20"/>
          <w:szCs w:val="20"/>
        </w:rPr>
        <w:t xml:space="preserve">❑   </w:t>
      </w:r>
      <w:r>
        <w:rPr>
          <w:rFonts w:ascii="Montserrat" w:cs="Montserrat" w:eastAsia="Montserrat" w:hAnsi="Montserrat"/>
          <w:b w:val="false"/>
          <w:bCs w:val="false"/>
          <w:i w:val="false"/>
          <w:iCs w:val="false"/>
          <w:caps w:val="false"/>
          <w:color w:val="484848"/>
          <w:sz w:val="20"/>
          <w:szCs w:val="20"/>
        </w:rPr>
        <w:t xml:space="preserve">Eligible costs are documentable from the cost report and closeout records</w:t>
      </w:r>
    </w:p>
    <w:p>
      <w:pPr>
        <w:spacing w:after="70" w:before="0" w:line="264"/>
        <w:ind w:left="300" w:hanging="300"/>
      </w:pPr>
      <w:r>
        <w:rPr>
          <w:rFonts w:ascii="Montserrat" w:cs="Montserrat" w:eastAsia="Montserrat" w:hAnsi="Montserrat"/>
          <w:b w:val="false"/>
          <w:bCs w:val="false"/>
          <w:i w:val="false"/>
          <w:iCs w:val="false"/>
          <w:caps w:val="false"/>
          <w:color w:val="009245"/>
          <w:sz w:val="20"/>
          <w:szCs w:val="20"/>
        </w:rPr>
        <w:t xml:space="preserve">❑   </w:t>
      </w:r>
      <w:r>
        <w:rPr>
          <w:rFonts w:ascii="Montserrat" w:cs="Montserrat" w:eastAsia="Montserrat" w:hAnsi="Montserrat"/>
          <w:b w:val="false"/>
          <w:bCs w:val="false"/>
          <w:i w:val="false"/>
          <w:iCs w:val="false"/>
          <w:caps w:val="false"/>
          <w:color w:val="484848"/>
          <w:sz w:val="20"/>
          <w:szCs w:val="20"/>
        </w:rPr>
        <w:t xml:space="preserve">Equity or a bridge facility funded the improvements, and that capital is still deployed</w:t>
      </w:r>
    </w:p>
    <w:p>
      <w:pPr>
        <w:spacing w:after="70" w:before="0" w:line="264"/>
        <w:ind w:left="300" w:hanging="300"/>
      </w:pPr>
      <w:r>
        <w:rPr>
          <w:rFonts w:ascii="Montserrat" w:cs="Montserrat" w:eastAsia="Montserrat" w:hAnsi="Montserrat"/>
          <w:b w:val="false"/>
          <w:bCs w:val="false"/>
          <w:i w:val="false"/>
          <w:iCs w:val="false"/>
          <w:caps w:val="false"/>
          <w:color w:val="009245"/>
          <w:sz w:val="20"/>
          <w:szCs w:val="20"/>
        </w:rPr>
        <w:t xml:space="preserve">❑   </w:t>
      </w:r>
      <w:r>
        <w:rPr>
          <w:rFonts w:ascii="Montserrat" w:cs="Montserrat" w:eastAsia="Montserrat" w:hAnsi="Montserrat"/>
          <w:b w:val="false"/>
          <w:bCs w:val="false"/>
          <w:i w:val="false"/>
          <w:iCs w:val="false"/>
          <w:caps w:val="false"/>
          <w:color w:val="484848"/>
          <w:sz w:val="20"/>
          <w:szCs w:val="20"/>
        </w:rPr>
        <w:t xml:space="preserve">The property remains owned by the sponsor or an affiliate</w:t>
      </w:r>
    </w:p>
    <w:p>
      <w:pPr>
        <w:spacing w:after="70" w:before="0" w:line="264"/>
        <w:ind w:left="300" w:hanging="300"/>
      </w:pPr>
      <w:r>
        <w:rPr>
          <w:rFonts w:ascii="Montserrat" w:cs="Montserrat" w:eastAsia="Montserrat" w:hAnsi="Montserrat"/>
          <w:b w:val="false"/>
          <w:bCs w:val="false"/>
          <w:i w:val="false"/>
          <w:iCs w:val="false"/>
          <w:caps w:val="false"/>
          <w:color w:val="009245"/>
          <w:sz w:val="20"/>
          <w:szCs w:val="20"/>
        </w:rPr>
        <w:t xml:space="preserve">❑   </w:t>
      </w:r>
      <w:r>
        <w:rPr>
          <w:rFonts w:ascii="Montserrat" w:cs="Montserrat" w:eastAsia="Montserrat" w:hAnsi="Montserrat"/>
          <w:b w:val="false"/>
          <w:bCs w:val="false"/>
          <w:i w:val="false"/>
          <w:iCs w:val="false"/>
          <w:caps w:val="false"/>
          <w:color w:val="484848"/>
          <w:sz w:val="20"/>
          <w:szCs w:val="20"/>
        </w:rPr>
        <w:t xml:space="preserve">Existing mortgage lender consent is obtainable</w:t>
      </w:r>
    </w:p>
    <w:p>
      <w:pPr>
        <w:spacing w:after="70" w:before="0" w:line="264"/>
        <w:ind w:left="300" w:hanging="300"/>
      </w:pPr>
      <w:r>
        <w:rPr>
          <w:rFonts w:ascii="Montserrat" w:cs="Montserrat" w:eastAsia="Montserrat" w:hAnsi="Montserrat"/>
          <w:b w:val="false"/>
          <w:bCs w:val="false"/>
          <w:i w:val="false"/>
          <w:iCs w:val="false"/>
          <w:caps w:val="false"/>
          <w:color w:val="009245"/>
          <w:sz w:val="20"/>
          <w:szCs w:val="20"/>
        </w:rPr>
        <w:t xml:space="preserve">❑   </w:t>
      </w:r>
      <w:r>
        <w:rPr>
          <w:rFonts w:ascii="Montserrat" w:cs="Montserrat" w:eastAsia="Montserrat" w:hAnsi="Montserrat"/>
          <w:b w:val="false"/>
          <w:bCs w:val="false"/>
          <w:i w:val="false"/>
          <w:iCs w:val="false"/>
          <w:caps w:val="false"/>
          <w:color w:val="484848"/>
          <w:sz w:val="20"/>
          <w:szCs w:val="20"/>
        </w:rPr>
        <w:t xml:space="preserve">Eligible basis is large enough that transaction costs do not consume the advantage</w:t>
      </w:r>
    </w:p>
    <w:p>
      <w:pPr>
        <w:spacing w:after="70" w:before="0" w:line="264"/>
        <w:ind w:left="300" w:hanging="300"/>
      </w:pPr>
      <w:r>
        <w:rPr>
          <w:rFonts w:ascii="Montserrat" w:cs="Montserrat" w:eastAsia="Montserrat" w:hAnsi="Montserrat"/>
          <w:b w:val="false"/>
          <w:bCs w:val="false"/>
          <w:i w:val="false"/>
          <w:iCs w:val="false"/>
          <w:caps w:val="false"/>
          <w:color w:val="009245"/>
          <w:sz w:val="20"/>
          <w:szCs w:val="20"/>
        </w:rPr>
        <w:t xml:space="preserve">❑   </w:t>
      </w:r>
      <w:r>
        <w:rPr>
          <w:rFonts w:ascii="Montserrat" w:cs="Montserrat" w:eastAsia="Montserrat" w:hAnsi="Montserrat"/>
          <w:b w:val="false"/>
          <w:bCs w:val="false"/>
          <w:i w:val="false"/>
          <w:iCs w:val="false"/>
          <w:caps w:val="false"/>
          <w:color w:val="484848"/>
          <w:sz w:val="20"/>
          <w:szCs w:val="20"/>
        </w:rPr>
        <w:t xml:space="preserve">Property is located in an MCED member jurisdiction</w:t>
      </w:r>
    </w:p>
    <w:p>
      <w:pPr>
        <w:keepNext/>
        <w:keepLines/>
        <w:pBdr>
          <w:top w:val="single" w:color="009245" w:sz="12" w:space="8"/>
        </w:pBdr>
        <w:spacing w:after="140" w:before="360" w:line="264"/>
      </w:pPr>
      <w:r>
        <w:rPr>
          <w:rFonts w:ascii="Montserrat" w:cs="Montserrat" w:eastAsia="Montserrat" w:hAnsi="Montserrat"/>
          <w:b/>
          <w:bCs/>
          <w:i w:val="false"/>
          <w:iCs w:val="false"/>
          <w:caps/>
          <w:color w:val="009245"/>
          <w:spacing w:val="20"/>
          <w:sz w:val="26"/>
          <w:szCs w:val="26"/>
        </w:rPr>
        <w:t xml:space="preserve">Documentation You Will Need</w:t>
      </w:r>
    </w:p>
    <w:tbl>
      <w:tblPr>
        <w:tblW w:type="dxa" w:w="9360"/>
        <w:tblBorders>
          <w:top w:val="single" w:color="D9E5D0" w:sz="2"/>
          <w:left w:val="none" w:color="auto" w:sz="0"/>
          <w:bottom w:val="single" w:color="D9E5D0" w:sz="2"/>
          <w:right w:val="none" w:color="auto" w:sz="0"/>
          <w:insideH w:val="single" w:color="D9E5D0" w:sz="2"/>
          <w:insideV w:val="single" w:color="D9E5D0" w:sz="2"/>
        </w:tblBorders>
      </w:tblPr>
      <w:tblGrid>
        <w:gridCol w:w="3400"/>
        <w:gridCol w:w="2360"/>
        <w:gridCol w:w="3600"/>
      </w:tblGrid>
      <w:tr>
        <w:trPr>
          <w:tblHeader/>
        </w:trPr>
        <w:tc>
          <w:tcPr>
            <w:tcW w:type="dxa" w:w="3400"/>
            <w:shd w:fill="009245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/>
                <w:bCs/>
                <w:i w:val="false"/>
                <w:iCs w:val="false"/>
                <w:caps w:val="false"/>
                <w:color w:val="FFFFFF"/>
                <w:sz w:val="17"/>
                <w:szCs w:val="17"/>
              </w:rPr>
              <w:t xml:space="preserve">Item</w:t>
            </w:r>
          </w:p>
        </w:tc>
        <w:tc>
          <w:tcPr>
            <w:tcW w:type="dxa" w:w="2360"/>
            <w:shd w:fill="009245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/>
                <w:bCs/>
                <w:i w:val="false"/>
                <w:iCs w:val="false"/>
                <w:caps w:val="false"/>
                <w:color w:val="FFFFFF"/>
                <w:sz w:val="17"/>
                <w:szCs w:val="17"/>
              </w:rPr>
              <w:t xml:space="preserve">Source</w:t>
            </w:r>
          </w:p>
        </w:tc>
        <w:tc>
          <w:tcPr>
            <w:tcW w:type="dxa" w:w="3600"/>
            <w:shd w:fill="009245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/>
                <w:bCs/>
                <w:i w:val="false"/>
                <w:iCs w:val="false"/>
                <w:caps w:val="false"/>
                <w:color w:val="FFFFFF"/>
                <w:sz w:val="17"/>
                <w:szCs w:val="17"/>
              </w:rPr>
              <w:t xml:space="preserve">Notes</w:t>
            </w:r>
          </w:p>
        </w:tc>
      </w:tr>
      <w:tr>
        <w:trPr>
          <w:cantSplit/>
        </w:trPr>
        <w:tc>
          <w:tcPr>
            <w:tcW w:type="dxa" w:w="3400"/>
            <w:shd w:fill="FFFFFF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/>
                <w:bCs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>Final cost report or schedule of values</w:t>
            </w:r>
          </w:p>
        </w:tc>
        <w:tc>
          <w:tcPr>
            <w:tcW w:type="dxa" w:w="2360"/>
            <w:shd w:fill="FFFFFF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>Developer / GC</w:t>
            </w:r>
          </w:p>
        </w:tc>
        <w:tc>
          <w:tcPr>
            <w:tcW w:type="dxa" w:w="3600"/>
            <w:shd w:fill="FFFFFF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>Must permit allocation to eligible systems</w:t>
            </w:r>
          </w:p>
        </w:tc>
      </w:tr>
      <w:tr>
        <w:trPr>
          <w:cantSplit/>
        </w:trPr>
        <w:tc>
          <w:tcPr>
            <w:tcW w:type="dxa" w:w="3400"/>
            <w:shd w:fill="F4F9EE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/>
                <w:bCs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>Contracts, invoices, and paid receipts for eligible scope</w:t>
            </w:r>
          </w:p>
        </w:tc>
        <w:tc>
          <w:tcPr>
            <w:tcW w:type="dxa" w:w="2360"/>
            <w:shd w:fill="F4F9EE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>Developer / GC</w:t>
            </w:r>
          </w:p>
        </w:tc>
        <w:tc>
          <w:tcPr>
            <w:tcW w:type="dxa" w:w="3600"/>
            <w:shd w:fill="F4F9EE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>Supports the reimbursement amount</w:t>
            </w:r>
          </w:p>
        </w:tc>
      </w:tr>
      <w:tr>
        <w:trPr>
          <w:cantSplit/>
        </w:trPr>
        <w:tc>
          <w:tcPr>
            <w:tcW w:type="dxa" w:w="3400"/>
            <w:shd w:fill="FFFFFF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/>
                <w:bCs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>Lien waivers and closeout documentation</w:t>
            </w:r>
          </w:p>
        </w:tc>
        <w:tc>
          <w:tcPr>
            <w:tcW w:type="dxa" w:w="2360"/>
            <w:shd w:fill="FFFFFF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>GC</w:t>
            </w:r>
          </w:p>
        </w:tc>
        <w:tc>
          <w:tcPr>
            <w:tcW w:type="dxa" w:w="3600"/>
            <w:shd w:fill="FFFFFF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>Confirms the work was completed and paid</w:t>
            </w:r>
          </w:p>
        </w:tc>
      </w:tr>
      <w:tr>
        <w:trPr>
          <w:cantSplit/>
        </w:trPr>
        <w:tc>
          <w:tcPr>
            <w:tcW w:type="dxa" w:w="3400"/>
            <w:shd w:fill="F4F9EE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/>
                <w:bCs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>As-built drawings and equipment schedules</w:t>
            </w:r>
          </w:p>
        </w:tc>
        <w:tc>
          <w:tcPr>
            <w:tcW w:type="dxa" w:w="2360"/>
            <w:shd w:fill="F4F9EE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>Architect / MEP</w:t>
            </w:r>
          </w:p>
        </w:tc>
        <w:tc>
          <w:tcPr>
            <w:tcW w:type="dxa" w:w="3600"/>
            <w:shd w:fill="F4F9EE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>Identifies what was installed</w:t>
            </w:r>
          </w:p>
        </w:tc>
      </w:tr>
      <w:tr>
        <w:trPr>
          <w:cantSplit/>
        </w:trPr>
        <w:tc>
          <w:tcPr>
            <w:tcW w:type="dxa" w:w="3400"/>
            <w:shd w:fill="FFFFFF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/>
                <w:bCs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>Energy model or engineering analysis</w:t>
            </w:r>
          </w:p>
        </w:tc>
        <w:tc>
          <w:tcPr>
            <w:tcW w:type="dxa" w:w="2360"/>
            <w:shd w:fill="FFFFFF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>Energy modeler</w:t>
            </w:r>
          </w:p>
        </w:tc>
        <w:tc>
          <w:tcPr>
            <w:tcW w:type="dxa" w:w="3600"/>
            <w:shd w:fill="FFFFFF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>May be prepared after the fact for completed work</w:t>
            </w:r>
          </w:p>
        </w:tc>
      </w:tr>
      <w:tr>
        <w:trPr>
          <w:cantSplit/>
        </w:trPr>
        <w:tc>
          <w:tcPr>
            <w:tcW w:type="dxa" w:w="3400"/>
            <w:shd w:fill="F4F9EE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/>
                <w:bCs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>Commissioning report, where one exists</w:t>
            </w:r>
          </w:p>
        </w:tc>
        <w:tc>
          <w:tcPr>
            <w:tcW w:type="dxa" w:w="2360"/>
            <w:shd w:fill="F4F9EE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>Commissioning agent</w:t>
            </w:r>
          </w:p>
        </w:tc>
        <w:tc>
          <w:tcPr>
            <w:tcW w:type="dxa" w:w="3600"/>
            <w:shd w:fill="F4F9EE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>Strengthens the documentation but is not always required</w:t>
            </w:r>
          </w:p>
        </w:tc>
      </w:tr>
      <w:tr>
        <w:trPr>
          <w:cantSplit/>
        </w:trPr>
        <w:tc>
          <w:tcPr>
            <w:tcW w:type="dxa" w:w="3400"/>
            <w:shd w:fill="FFFFFF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/>
                <w:bCs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>Existing mortgage documents</w:t>
            </w:r>
          </w:p>
        </w:tc>
        <w:tc>
          <w:tcPr>
            <w:tcW w:type="dxa" w:w="2360"/>
            <w:shd w:fill="FFFFFF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>Developer</w:t>
            </w:r>
          </w:p>
        </w:tc>
        <w:tc>
          <w:tcPr>
            <w:tcW w:type="dxa" w:w="3600"/>
            <w:shd w:fill="FFFFFF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>Determines the consent path</w:t>
            </w:r>
          </w:p>
        </w:tc>
      </w:tr>
      <w:tr>
        <w:trPr>
          <w:cantSplit/>
        </w:trPr>
        <w:tc>
          <w:tcPr>
            <w:tcW w:type="dxa" w:w="3400"/>
            <w:shd w:fill="F4F9EE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/>
                <w:bCs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>Title and ownership documentation</w:t>
            </w:r>
          </w:p>
        </w:tc>
        <w:tc>
          <w:tcPr>
            <w:tcW w:type="dxa" w:w="2360"/>
            <w:shd w:fill="F4F9EE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>Developer / title</w:t>
            </w:r>
          </w:p>
        </w:tc>
        <w:tc>
          <w:tcPr>
            <w:tcW w:type="dxa" w:w="3600"/>
            <w:shd w:fill="F4F9EE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>Confirms the assessment can be levied</w:t>
            </w:r>
          </w:p>
        </w:tc>
      </w:tr>
    </w:tbl>
    <w:p>
      <w:pPr>
        <w:spacing w:after="140" w:before="0"/>
      </w:pPr>
      <w:r>
        <w:rPr>
          <w:rFonts w:ascii="Montserrat" w:cs="Montserrat" w:eastAsia="Montserrat" w:hAnsi="Montserrat"/>
          <w:b w:val="false"/>
          <w:bCs w:val="false"/>
          <w:i w:val="false"/>
          <w:iCs w:val="false"/>
          <w:caps w:val="false"/>
          <w:color w:val="484848"/>
          <w:sz w:val="20"/>
          <w:szCs w:val="20"/>
        </w:rPr>
        <w:t xml:space="preserve"/>
      </w:r>
    </w:p>
    <w:tbl>
      <w:tblPr>
        <w:tblW w:type="dxa" w:w="9360"/>
        <w:tblBorders>
          <w:top w:val="none" w:color="auto" w:sz="0"/>
          <w:left w:val="single" w:color="4EBB25" w:sz="18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4F9EE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 w:before="0" w:line="264"/>
            </w:pPr>
            <w:r>
              <w:rPr>
                <w:rFonts w:ascii="Montserrat" w:cs="Montserrat" w:eastAsia="Montserrat" w:hAnsi="Montserrat"/>
                <w:b/>
                <w:bCs/>
                <w:i w:val="false"/>
                <w:iCs w:val="false"/>
                <w:caps/>
                <w:color w:val="4EBB25"/>
                <w:spacing w:val="30"/>
                <w:sz w:val="16"/>
                <w:szCs w:val="16"/>
              </w:rPr>
              <w:t xml:space="preserve">On documentation prepared after the fact</w:t>
            </w:r>
          </w:p>
          <w:p>
            <w:pPr>
              <w:spacing w:after="0" w:before="0" w:line="264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9"/>
                <w:szCs w:val="19"/>
              </w:rPr>
              <w:t xml:space="preserve">Retroactive sizing depends on reconstructing a cost allocation that was never set up. That is ordinarily possible from a well-kept cost report and is ordinarily painful from a poorly-kept one. It is the strongest argument for instructing design teams on allocation as a standing practice — see MGBA-DEV-JA-07.</w:t>
            </w:r>
          </w:p>
        </w:tc>
      </w:tr>
    </w:tbl>
    <w:p>
      <w:pPr>
        <w:keepNext/>
        <w:keepLines/>
        <w:pBdr>
          <w:top w:val="single" w:color="009245" w:sz="12" w:space="8"/>
        </w:pBdr>
        <w:spacing w:after="140" w:before="360" w:line="264"/>
      </w:pPr>
      <w:r>
        <w:rPr>
          <w:rFonts w:ascii="Montserrat" w:cs="Montserrat" w:eastAsia="Montserrat" w:hAnsi="Montserrat"/>
          <w:b/>
          <w:bCs/>
          <w:i w:val="false"/>
          <w:iCs w:val="false"/>
          <w:caps/>
          <w:color w:val="009245"/>
          <w:spacing w:val="20"/>
          <w:sz w:val="26"/>
          <w:szCs w:val="26"/>
        </w:rPr>
        <w:t xml:space="preserve">What Retroactive Funding Does Not Change</w:t>
      </w:r>
    </w:p>
    <w:p>
      <w:pPr>
        <w:spacing w:after="70" w:before="0" w:line="264"/>
        <w:ind w:left="260" w:hanging="260"/>
      </w:pPr>
      <w:r>
        <w:rPr>
          <w:rFonts w:ascii="Montserrat" w:cs="Montserrat" w:eastAsia="Montserrat" w:hAnsi="Montserrat"/>
          <w:b/>
          <w:bCs/>
          <w:i w:val="false"/>
          <w:iCs w:val="false"/>
          <w:caps w:val="false"/>
          <w:color w:val="4EBB25"/>
          <w:sz w:val="18"/>
          <w:szCs w:val="18"/>
        </w:rPr>
        <w:t xml:space="preserve">▪   </w:t>
      </w:r>
      <w:r>
        <w:rPr>
          <w:rFonts w:ascii="Montserrat" w:cs="Montserrat" w:eastAsia="Montserrat" w:hAnsi="Montserrat"/>
          <w:b w:val="false"/>
          <w:bCs w:val="false"/>
          <w:i w:val="false"/>
          <w:iCs w:val="false"/>
          <w:caps w:val="false"/>
          <w:color w:val="484848"/>
          <w:sz w:val="20"/>
          <w:szCs w:val="20"/>
        </w:rPr>
        <w:t xml:space="preserve">Lender consent is still required. A completed project with a funded mortgage is the harder consent conversation, not the easier one.</w:t>
      </w:r>
    </w:p>
    <w:p>
      <w:pPr>
        <w:spacing w:after="70" w:before="0" w:line="264"/>
        <w:ind w:left="260" w:hanging="260"/>
      </w:pPr>
      <w:r>
        <w:rPr>
          <w:rFonts w:ascii="Montserrat" w:cs="Montserrat" w:eastAsia="Montserrat" w:hAnsi="Montserrat"/>
          <w:b/>
          <w:bCs/>
          <w:i w:val="false"/>
          <w:iCs w:val="false"/>
          <w:caps w:val="false"/>
          <w:color w:val="4EBB25"/>
          <w:sz w:val="18"/>
          <w:szCs w:val="18"/>
        </w:rPr>
        <w:t xml:space="preserve">▪   </w:t>
      </w:r>
      <w:r>
        <w:rPr>
          <w:rFonts w:ascii="Montserrat" w:cs="Montserrat" w:eastAsia="Montserrat" w:hAnsi="Montserrat"/>
          <w:b w:val="false"/>
          <w:bCs w:val="false"/>
          <w:i w:val="false"/>
          <w:iCs w:val="false"/>
          <w:caps w:val="false"/>
          <w:color w:val="484848"/>
          <w:sz w:val="20"/>
          <w:szCs w:val="20"/>
        </w:rPr>
        <w:t xml:space="preserve">Eligibility rules are the same. Permanently affixed, separable, and documentable still govern.</w:t>
      </w:r>
    </w:p>
    <w:p>
      <w:pPr>
        <w:spacing w:after="70" w:before="0" w:line="264"/>
        <w:ind w:left="260" w:hanging="260"/>
      </w:pPr>
      <w:r>
        <w:rPr>
          <w:rFonts w:ascii="Montserrat" w:cs="Montserrat" w:eastAsia="Montserrat" w:hAnsi="Montserrat"/>
          <w:b/>
          <w:bCs/>
          <w:i w:val="false"/>
          <w:iCs w:val="false"/>
          <w:caps w:val="false"/>
          <w:color w:val="4EBB25"/>
          <w:sz w:val="18"/>
          <w:szCs w:val="18"/>
        </w:rPr>
        <w:t xml:space="preserve">▪   </w:t>
      </w:r>
      <w:r>
        <w:rPr>
          <w:rFonts w:ascii="Montserrat" w:cs="Montserrat" w:eastAsia="Montserrat" w:hAnsi="Montserrat"/>
          <w:b w:val="false"/>
          <w:bCs w:val="false"/>
          <w:i w:val="false"/>
          <w:iCs w:val="false"/>
          <w:caps w:val="false"/>
          <w:color w:val="484848"/>
          <w:sz w:val="20"/>
          <w:szCs w:val="20"/>
        </w:rPr>
        <w:t xml:space="preserve">Transaction costs are the same. Scale still matters.</w:t>
      </w:r>
    </w:p>
    <w:p>
      <w:pPr>
        <w:spacing w:after="70" w:before="0" w:line="264"/>
        <w:ind w:left="260" w:hanging="260"/>
      </w:pPr>
      <w:r>
        <w:rPr>
          <w:rFonts w:ascii="Montserrat" w:cs="Montserrat" w:eastAsia="Montserrat" w:hAnsi="Montserrat"/>
          <w:b/>
          <w:bCs/>
          <w:i w:val="false"/>
          <w:iCs w:val="false"/>
          <w:caps w:val="false"/>
          <w:color w:val="4EBB25"/>
          <w:sz w:val="18"/>
          <w:szCs w:val="18"/>
        </w:rPr>
        <w:t xml:space="preserve">▪   </w:t>
      </w:r>
      <w:r>
        <w:rPr>
          <w:rFonts w:ascii="Montserrat" w:cs="Montserrat" w:eastAsia="Montserrat" w:hAnsi="Montserrat"/>
          <w:b w:val="false"/>
          <w:bCs w:val="false"/>
          <w:i w:val="false"/>
          <w:iCs w:val="false"/>
          <w:caps w:val="false"/>
          <w:color w:val="484848"/>
          <w:sz w:val="20"/>
          <w:szCs w:val="20"/>
        </w:rPr>
        <w:t xml:space="preserve">The assessment term is still capped at twenty years and at the weighted average useful life of the improvements — and useful life is measured from installation, which on a completed project has already begun to run.</w:t>
      </w:r>
    </w:p>
    <w:p>
      <w:pPr>
        <w:keepNext/>
        <w:keepLines/>
        <w:pBdr>
          <w:top w:val="single" w:color="009245" w:sz="12" w:space="8"/>
        </w:pBdr>
        <w:spacing w:after="140" w:before="360" w:line="264"/>
      </w:pPr>
      <w:r>
        <w:rPr>
          <w:rFonts w:ascii="Montserrat" w:cs="Montserrat" w:eastAsia="Montserrat" w:hAnsi="Montserrat"/>
          <w:b/>
          <w:bCs/>
          <w:i w:val="false"/>
          <w:iCs w:val="false"/>
          <w:caps/>
          <w:color w:val="009245"/>
          <w:spacing w:val="20"/>
          <w:sz w:val="26"/>
          <w:szCs w:val="26"/>
        </w:rPr>
        <w:t xml:space="preserve">Next Step</w:t>
      </w:r>
    </w:p>
    <w:p>
      <w:pPr>
        <w:keepNext w:val="false"/>
        <w:keepLines w:val="false"/>
        <w:spacing w:after="120" w:before="0" w:line="264"/>
      </w:pPr>
      <w:r>
        <w:rPr>
          <w:rFonts w:ascii="Montserrat" w:cs="Montserrat" w:eastAsia="Montserrat" w:hAnsi="Montserrat"/>
          <w:b w:val="false"/>
          <w:bCs w:val="false"/>
          <w:i w:val="false"/>
          <w:iCs w:val="false"/>
          <w:caps w:val="false"/>
          <w:color w:val="484848"/>
          <w:sz w:val="20"/>
          <w:szCs w:val="20"/>
        </w:rPr>
        <w:t xml:space="preserve">For any project that clears the screen, contact Missouri Green Banc for a sizing conversation before assembling documentation. Sizing first tells you whether the documentation effort is worth it.</w:t>
      </w:r>
    </w:p>
    <w:p>
      <w:pPr>
        <w:spacing w:after="80" w:before="0"/>
      </w:pPr>
      <w:r>
        <w:rPr>
          <w:rFonts w:ascii="Montserrat" w:cs="Montserrat" w:eastAsia="Montserrat" w:hAnsi="Montserrat"/>
          <w:b w:val="false"/>
          <w:bCs w:val="false"/>
          <w:i w:val="false"/>
          <w:iCs w:val="false"/>
          <w:caps w:val="false"/>
          <w:color w:val="484848"/>
          <w:sz w:val="20"/>
          <w:szCs w:val="20"/>
        </w:rPr>
        <w:t xml:space="preserve"/>
      </w:r>
    </w:p>
    <w:tbl>
      <w:tblPr>
        <w:tblW w:type="dxa" w:w="9360"/>
        <w:tblBorders>
          <w:top w:val="single" w:color="D9E5D0" w:sz="2"/>
          <w:left w:val="none" w:color="auto" w:sz="0"/>
          <w:bottom w:val="single" w:color="D9E5D0" w:sz="2"/>
          <w:right w:val="none" w:color="auto" w:sz="0"/>
          <w:insideH w:val="single" w:color="D9E5D0" w:sz="2"/>
          <w:insideV w:val="single" w:color="D9E5D0" w:sz="2"/>
        </w:tblBorders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shd w:fill="FFFFFF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/>
                <w:bCs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>Missouri Green Banc</w:t>
            </w:r>
          </w:p>
        </w:tc>
        <w:tc>
          <w:tcPr>
            <w:tcW w:type="dxa" w:w="6960"/>
            <w:shd w:fill="FFFFFF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5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>16305 Swingley Ridge Road, Suite 220</w:t>
            </w:r>
          </w:p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>Chesterfield, MO 63017</w:t>
            </w:r>
          </w:p>
        </w:tc>
      </w:tr>
      <w:tr>
        <w:trPr>
          <w:cantSplit/>
        </w:trPr>
        <w:tc>
          <w:tcPr>
            <w:tcW w:type="dxa" w:w="2400"/>
            <w:shd w:fill="F4F9EE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/>
                <w:bCs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>Telephone</w:t>
            </w:r>
          </w:p>
        </w:tc>
        <w:tc>
          <w:tcPr>
            <w:tcW w:type="dxa" w:w="6960"/>
            <w:shd w:fill="F4F9EE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>(866) 554-4083</w:t>
            </w:r>
          </w:p>
        </w:tc>
      </w:tr>
      <w:tr>
        <w:trPr>
          <w:cantSplit/>
        </w:trPr>
        <w:tc>
          <w:tcPr>
            <w:tcW w:type="dxa" w:w="2400"/>
            <w:shd w:fill="FFFFFF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/>
                <w:bCs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>Email</w:t>
            </w:r>
          </w:p>
        </w:tc>
        <w:tc>
          <w:tcPr>
            <w:tcW w:type="dxa" w:w="6960"/>
            <w:shd w:fill="FFFFFF" w:color="auto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top"/>
          </w:tcPr>
          <w:p>
            <w:pPr>
              <w:spacing w:after="0" w:before="0" w:line="250"/>
            </w:pPr>
            <w:r>
              <w:rPr>
                <w:rFonts w:ascii="Montserrat" w:cs="Montserrat" w:eastAsia="Montserrat" w:hAnsi="Montserrat"/>
                <w:b w:val="false"/>
                <w:bCs w:val="false"/>
                <w:i w:val="false"/>
                <w:iCs w:val="false"/>
                <w:caps w:val="false"/>
                <w:color w:val="484848"/>
                <w:sz w:val="18"/>
                <w:szCs w:val="18"/>
              </w:rPr>
              <w:t xml:space="preserve">communications@missourigreenbanc.org</w:t>
            </w:r>
          </w:p>
        </w:tc>
      </w:tr>
    </w:tbl>
    <w:p>
      <w:pPr>
        <w:keepNext w:val="false"/>
        <w:keepLines w:val="false"/>
        <w:spacing w:after="120" w:before="280" w:line="264"/>
        <w:jc w:val="center"/>
      </w:pPr>
      <w:r>
        <w:rPr>
          <w:rFonts w:ascii="Montserrat" w:cs="Montserrat" w:eastAsia="Montserrat" w:hAnsi="Montserrat"/>
          <w:b/>
          <w:bCs/>
          <w:i/>
          <w:iCs/>
          <w:caps w:val="false"/>
          <w:color w:val="009245"/>
          <w:sz w:val="18"/>
          <w:szCs w:val="18"/>
        </w:rPr>
        <w:t xml:space="preserve">Markets set in motion. It all starts with collaboration.</w:t>
      </w:r>
    </w:p>
    <w:sectPr>
      <w:headerReference w:type="default" r:id="rId7"/>
      <w:footerReference w:type="default" r:id="rId8"/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360"/>
      </w:tabs>
      <w:spacing w:before="0"/>
    </w:pPr>
    <w:r>
      <w:rPr>
        <w:rFonts w:ascii="Montserrat" w:cs="Montserrat" w:eastAsia="Montserrat" w:hAnsi="Montserrat"/>
        <w:b w:val="false"/>
        <w:bCs w:val="false"/>
        <w:i w:val="false"/>
        <w:iCs w:val="false"/>
        <w:caps w:val="false"/>
        <w:color w:val="484848"/>
        <w:sz w:val="15"/>
        <w:szCs w:val="15"/>
      </w:rPr>
      <w:t xml:space="preserve">Missouri Green Banc  ·  MGBA-DEV-JA-05  ·  v1.0</w:t>
    </w:r>
    <w:r>
      <w:rPr>
        <w:rFonts w:ascii="Montserrat" w:cs="Montserrat" w:eastAsia="Montserrat" w:hAnsi="Montserrat"/>
        <w:b w:val="false"/>
        <w:bCs w:val="false"/>
        <w:i w:val="false"/>
        <w:iCs w:val="false"/>
        <w:caps w:val="false"/>
        <w:color w:val="484848"/>
        <w:sz w:val="20"/>
        <w:szCs w:val="20"/>
      </w:rPr>
      <w:t xml:space="preserve">	</w:t>
    </w:r>
    <w:r>
      <w:rPr>
        <w:rFonts w:ascii="Montserrat" w:cs="Montserrat" w:eastAsia="Montserrat" w:hAnsi="Montserrat"/>
        <w:color w:val="484848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9245" w:sz="6" w:space="6"/>
      </w:pBdr>
      <w:tabs>
        <w:tab w:val="right" w:pos="9360"/>
      </w:tabs>
      <w:spacing w:after="0"/>
    </w:pPr>
    <w:r>
      <w:rPr>
        <w:rFonts w:ascii="Montserrat" w:cs="Montserrat" w:eastAsia="Montserrat" w:hAnsi="Montserrat"/>
        <w:b/>
        <w:bCs/>
        <w:i w:val="false"/>
        <w:iCs w:val="false"/>
        <w:caps w:val="false"/>
        <w:color w:val="009245"/>
        <w:spacing w:val="30"/>
        <w:sz w:val="15"/>
        <w:szCs w:val="15"/>
      </w:rPr>
      <w:t xml:space="preserve">MGB ACADEMY  ·  PROPERTY DEVELOPERS</w:t>
    </w:r>
    <w:r>
      <w:rPr>
        <w:rFonts w:ascii="Montserrat" w:cs="Montserrat" w:eastAsia="Montserrat" w:hAnsi="Montserrat"/>
        <w:b w:val="false"/>
        <w:bCs w:val="false"/>
        <w:i w:val="false"/>
        <w:iCs w:val="false"/>
        <w:caps w:val="false"/>
        <w:color w:val="484848"/>
        <w:sz w:val="20"/>
        <w:szCs w:val="20"/>
      </w:rPr>
      <w:t xml:space="preserve">	</w:t>
    </w:r>
    <w:r>
      <w:rPr>
        <w:rFonts w:ascii="Montserrat" w:cs="Montserrat" w:eastAsia="Montserrat" w:hAnsi="Montserrat"/>
        <w:b/>
        <w:bCs/>
        <w:i w:val="false"/>
        <w:iCs w:val="false"/>
        <w:caps w:val="false"/>
        <w:color w:val="4EBB25"/>
        <w:spacing w:val="20"/>
        <w:sz w:val="15"/>
        <w:szCs w:val="15"/>
      </w:rPr>
      <w:t xml:space="preserve">MGBA-DEV-JA-05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ontserrat" w:cs="Montserrat" w:eastAsia="Montserrat" w:hAnsi="Montserrat"/>
        <w:color w:val="484848"/>
        <w:sz w:val="20"/>
        <w:szCs w:val="20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2026-08-23T01:03:39.415Z</dcterms:created>
  <dcterms:modified xsi:type="dcterms:W3CDTF">2026-08-23T01:03:39.415Z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